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（委員会名）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  <w:bookmarkEnd w:id="0"/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AC99A-4679-4385-A454-A9BF4AF8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2019-03-26T00:56:00Z</dcterms:modified>
</cp:coreProperties>
</file>